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ind w:left="-540" w:firstLine="540"/>
        <w:jc w:val="right"/>
        <w:rPr>
          <w:b/>
          <w:bCs/>
          <w:color w:val="ffffff" w:themeColor="background1"/>
          <w:sz w:val="28"/>
          <w:szCs w:val="28"/>
          <w:highlight w:val="white"/>
        </w:rPr>
      </w:pPr>
      <w:r>
        <w:rPr>
          <w:b/>
          <w:bCs/>
          <w:color w:val="ffffff" w:themeColor="background1"/>
          <w:sz w:val="28"/>
          <w:szCs w:val="28"/>
          <w:highlight w:val="white"/>
        </w:rPr>
      </w:r>
      <w:r>
        <w:rPr>
          <w:b/>
          <w:bCs/>
          <w:color w:val="ffffff" w:themeColor="background1"/>
          <w:sz w:val="28"/>
          <w:szCs w:val="28"/>
          <w:highlight w:val="white"/>
        </w:rPr>
        <w:t xml:space="preserve">проект</w:t>
      </w:r>
      <w:r>
        <w:rPr>
          <w:highlight w:val="white"/>
        </w:rPr>
      </w:r>
      <w:r/>
    </w:p>
    <w:p>
      <w:pPr>
        <w:pStyle w:val="832"/>
        <w:ind w:left="-540" w:firstLine="540"/>
        <w:jc w:val="righ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832"/>
        <w:ind w:left="-540" w:firstLine="540"/>
        <w:jc w:val="right"/>
      </w:pPr>
      <w:r>
        <w:rPr>
          <w:b/>
          <w:bCs/>
          <w:color w:val="ffffff" w:themeColor="background1"/>
          <w:sz w:val="28"/>
          <w:szCs w:val="28"/>
          <w:highlight w:val="white"/>
        </w:rPr>
      </w:r>
      <w:r>
        <w:rPr>
          <w:b/>
          <w:bCs/>
          <w:color w:val="ffffff" w:themeColor="background1"/>
          <w:sz w:val="28"/>
          <w:szCs w:val="28"/>
          <w:highlight w:val="white"/>
        </w:rPr>
        <w:t xml:space="preserve">оект</w:t>
      </w:r>
      <w:r/>
    </w:p>
    <w:p>
      <w:pPr>
        <w:ind w:left="-540" w:firstLine="540"/>
        <w:jc w:val="right"/>
      </w:pPr>
      <w:r>
        <w:rPr>
          <w:b/>
          <w:bCs/>
          <w:sz w:val="28"/>
          <w:szCs w:val="28"/>
        </w:rPr>
        <w:t xml:space="preserve">ПРОЕКТ </w:t>
      </w:r>
      <w:bookmarkStart w:id="0" w:name="undefined"/>
      <w:r/>
      <w:bookmarkEnd w:id="0"/>
      <w:r/>
      <w:r/>
    </w:p>
    <w:p>
      <w:pPr>
        <w:ind w:left="-540" w:firstLine="540"/>
        <w:jc w:val="center"/>
      </w:pPr>
      <w:r>
        <w:rPr>
          <w:sz w:val="28"/>
        </w:rPr>
      </w:r>
      <w:r/>
    </w:p>
    <w:p>
      <w:r>
        <w:rPr>
          <w:sz w:val="28"/>
        </w:rPr>
      </w:r>
      <w:r/>
    </w:p>
    <w:p>
      <w:pPr>
        <w:jc w:val="center"/>
      </w:pPr>
      <w:r>
        <w:rPr>
          <w:sz w:val="28"/>
          <w:szCs w:val="28"/>
        </w:rPr>
        <w:t xml:space="preserve">РОССИЙСКАЯ ФЕДЕРАЦИЯ</w:t>
      </w:r>
      <w:r>
        <w:rPr>
          <w:sz w:val="28"/>
          <w:szCs w:val="28"/>
        </w:rPr>
        <w:br/>
        <w:t xml:space="preserve">СОВЕТ ДЕПУТАТОВ</w:t>
      </w:r>
      <w:r>
        <w:rPr>
          <w:sz w:val="28"/>
          <w:szCs w:val="28"/>
        </w:rPr>
        <w:br/>
        <w:t xml:space="preserve">ГОРОДСКОГО ОКРУГА СЕРЕБРЯНЫЕ ПРУДЫ</w:t>
      </w:r>
      <w:r>
        <w:rPr>
          <w:sz w:val="28"/>
          <w:szCs w:val="28"/>
        </w:rPr>
        <w:br/>
        <w:t xml:space="preserve">МОСКОВСКОЙ ОБЛАСТИ</w:t>
      </w:r>
      <w:r/>
    </w:p>
    <w:p>
      <w:pPr>
        <w:jc w:val="center"/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РЕШЕНИЕ</w:t>
      </w:r>
      <w:r>
        <w:rPr>
          <w:b/>
          <w:sz w:val="28"/>
          <w:szCs w:val="28"/>
        </w:rPr>
        <w:br/>
      </w:r>
      <w:r/>
    </w:p>
    <w:p>
      <w:pPr>
        <w:jc w:val="center"/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______</w:t>
      </w:r>
      <w:r/>
    </w:p>
    <w:p>
      <w:pPr>
        <w:rPr>
          <w:color w:val="ffffff"/>
          <w:highlight w:val="white"/>
        </w:rPr>
      </w:pPr>
      <w:r>
        <w:rPr>
          <w:sz w:val="28"/>
        </w:rPr>
      </w:r>
      <w:r>
        <w:rPr>
          <w:b/>
          <w:bCs/>
          <w:color w:val="ffffff" w:themeColor="background1"/>
          <w:sz w:val="28"/>
          <w:szCs w:val="28"/>
          <w:highlight w:val="white"/>
        </w:rPr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</w:r>
      <w:r/>
    </w:p>
    <w:p>
      <w:pPr>
        <w:pStyle w:val="832"/>
        <w:ind w:left="-540" w:firstLine="540"/>
        <w:jc w:val="center"/>
      </w:pPr>
      <w:r>
        <w:rPr>
          <w:sz w:val="28"/>
        </w:rPr>
        <w:t xml:space="preserve">«</w:t>
      </w:r>
      <w:r>
        <w:rPr>
          <w:sz w:val="28"/>
        </w:rPr>
      </w:r>
      <w:r>
        <w:rPr>
          <w:sz w:val="28"/>
        </w:rPr>
        <w:t xml:space="preserve">О внесении изменений в решение Совета депутатов городского округа Серебряные Пруды Московской области от 27.12.2022 года № 35/6</w:t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  <w:t xml:space="preserve"> «О бюджете городского округа Серебряные Пруды </w:t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  <w:t xml:space="preserve">Московской области на 2023 год и на плановый период 2024 и 2025 годов»</w:t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  <w:t xml:space="preserve">В соответствии с Бюджетным кодексом Российской Федерации, Положением о бюджетном процессе в городском округе Серебряные Пруды Московской области, руководствуясь Уставом городского округа Серебряные Пруды Московской области, </w:t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  <w:t xml:space="preserve">СОВЕТ ДЕПУТАТОВ ГОРОДСКОГО ОКРУГА РЕШИЛ: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1. Внести в решение Совета депутатов городского округа Серебряные Пруды Московской области от 27.12.2022 года № 35/6 «О бюджете городского округа Серебряные Пруды Московской области на 2023 год и на плановый период 2024 и 2025 годов» (с изменениями от 27.02</w:t>
      </w:r>
      <w:r>
        <w:rPr>
          <w:sz w:val="28"/>
        </w:rPr>
        <w:t xml:space="preserve">.2023 №40/7, от 24.05.2023 №75/10, от 05.07.2023 №83/12, от 25.08.2023 №89/13, от 25.09.2023 № 100/14) следующие изменения: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1) Статью 1 изложить в следующей редакции: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«Статья 1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1. Утвердить основные характеристики бюджета городского округа Серебряные Пруды Московской области на 2023 год: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общий объем доходов бюджета городского округа Серебряные Пруды Московской области в сумме 2 362 260,19 тыс. рублей, в том числе объем межбюджетных трансфертов, получаемых из других бюджетов бюджетной системы Российской Федерации в сумме 1  756 160,19 тыс. р</w:t>
      </w:r>
      <w:r>
        <w:rPr>
          <w:sz w:val="28"/>
        </w:rPr>
        <w:t xml:space="preserve">ублей;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общий объем расходов бюджета городского округа Серебряные Пруды Московской области в сумме 2 564 732,31 тыс. рублей;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дефицит бюджета городского округа Серебряные Пруды Московской области в сумме 202 472,12 тыс. рублей.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2. Утвердить основные характеристики бюджета городского округа Серебряные Пруды Московской области на плановый период 2024 и 2025 годов: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общий объем доходов бюджета городского округа Серебряные Пруды Московской области на 2024 год в сумме 2 270 121,48 тыс. рублей, в том числе объем межбюджетных трансфертов, получаемых из других бюджетов бюджетной системы Российской Федерации, в сумме 1 630 1</w:t>
      </w:r>
      <w:r>
        <w:rPr>
          <w:sz w:val="28"/>
        </w:rPr>
        <w:t xml:space="preserve">08,48 тыс. рублей и на 2025 год в сумме   1 727 244,08 тыс. рублей, в том числе объем межбюджетных трансфертов, получаемых из других бюджетов бюджетной системы Российской Федерации в сумме 1 052 971,87  тыс. рублей;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общий объем расходов бюджета городского округа Серебряные Пруды Московской области на 2024 год в сумме 2 270 121,48 тыс. рублей, в том числе условно утвержденные расходы в сумме 38 391,30 тыс. рублей, и на 2025 год в сумме 1 707 906,08 тыс. рублей, в том чи</w:t>
      </w:r>
      <w:r>
        <w:rPr>
          <w:sz w:val="28"/>
        </w:rPr>
        <w:t xml:space="preserve">сле условно утвержденные расходы в сумме 60 816,11 тыс. рублей;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профицит бюджета городского округа Серебряные Пруды Московской области на 2024 год в сумме 0,00 тыс. рублей и на 2025 год 19 338,00 тыс. рублей.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3. Утвердить общий объем бюджетных ассигнований, направляемых на исполнение публичных нормативных обязательств на 2023 год в сумме 0,00 тыс. рублей, на 2024 год в сумме 0,00 тыс. рублей и на 2025 год в сумме 0,00 тыс. рублей.»;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2) Статью 7 изложить в следующей редакции: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«Статья    7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1. Установить верхний предел муниципального внутреннего долга по состоянию на 1 января 2024 года в размере 58 600,00 тыс. рублей, в том числе верхний предел долга по муниципальным гарантиям городского округа Серебряные Пруды Московской области – 0,00 тыс. р</w:t>
      </w:r>
      <w:r>
        <w:rPr>
          <w:sz w:val="28"/>
        </w:rPr>
        <w:t xml:space="preserve">ублей. 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2. Установить верхний предел муниципального внутреннего долга по состоянию на 1 января 2025 года в размере 58 600,00 тыс. рублей, в том числе верхний предел долга по муниципальным гарантиям городского округа Серебряные Пруды Московской области – 0,00 тыс. р</w:t>
      </w:r>
      <w:r>
        <w:rPr>
          <w:sz w:val="28"/>
        </w:rPr>
        <w:t xml:space="preserve">ублей.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3. Установить верхний предел муниципального внутреннего долга по состоянию на 1 января 2026 года в размере 39 262,00 тыс. рублей, в том числе верхний предел долга по муниципальным гарантиям городского округа Серебряные Пруды Московской области – 0,00 тыс.ру</w:t>
      </w:r>
      <w:r>
        <w:rPr>
          <w:sz w:val="28"/>
        </w:rPr>
        <w:t xml:space="preserve">блей.»; 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3) Статью 8 изложить в следующей редакции: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«Статья 8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Установить предельный объем заимствований городского округа Серебряные Пруды Московской области в течение 2023 года в сумме                    12 118,34 тыс. рублей, 2024 года в сумме 19 338,00 тыс. рублей, 2025 года в сумме 19 338,00 тыс. рублей.»;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4) Статью 9 изложить в следующей редакции: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«Статья 9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Установить объем расходов бюджета городского округа Серебряные Пруды Московской области на обслуживание муниципального долга городского округа Серебряные Пруды Московской области на 2023 год в размере 66,73 тыс. рублей, на 2024 год в размере 2 261,60 тыс. р</w:t>
      </w:r>
      <w:r>
        <w:rPr>
          <w:sz w:val="28"/>
        </w:rPr>
        <w:t xml:space="preserve">ублей, на 2025 год в размере 2 246,73 тыс. рублей.»;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5) Статью 16 изложить в следующей редакции: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        «Статья 16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         1.Утвердить объем бюджетных ассигнований муниципального дорожного фонда городского округа Серебряные Пруды Московской области: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на 2023 год в размере 184 155,14 тыс. рублей;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на 2024 год в размере 108 153,00 тыс. рублей;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на 2025 год в размере 101 292,00 тыс. рублей.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2. Бюджетные ассигнования муниципального дорожного фонда городского округа Серебряные Пруды Московской области предусмотрены администрации городского округа Серебряные Пруды Московской области.»;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6) Статью 16.1  изложить в следующей редакции: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«Статья 16.1 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          Установить, что в расходах бюджета городского округа Серебряные Пруды Московской области предусматриваются субсидии некоммерческим организациям, не являющимся муниципальными учреждениями на мероприятия в сфере жилищно-коммунального хозяйства: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  на 2023 год в размере 5 919,52 тыс.рублей;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  на 2024 год в размере 0,0 тыс. рублей;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  на 2025 год в размере 0,0 тыс. рублей.»;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7) Изложить приложение 1 «Поступления доходов в бюджет городского округа Серебряные Пруды Московской области на 2023 год и на плановый период 2024 и 2025 годов», в редакции согласно приложению 1 к настоящему решению; 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8) Изложить приложение 2 «Распределение бюджетных ассигнований по разделам, подразделам, целевым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</w:t>
      </w:r>
      <w:r>
        <w:rPr>
          <w:sz w:val="28"/>
        </w:rPr>
        <w:t xml:space="preserve">асходов классификации расходов бюджета городского округа Серебряные Пруды Московской области на 2023 год и на плановый период 2024 и 2025 годов», в редакции согласно приложению 2 к настоящему решению;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9) Изложить приложение 3 «Ведомственная структура расходов бюджета городского округа Серебряные Пруды Московской области на 2023 год и на плановый период 2024 и 2025 годов», в редакции согласно приложению 3              к настоящему решению;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10) Изложить приложение 4 «Распределение бюджетных ассигнований по целевым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</w:t>
      </w:r>
      <w:r>
        <w:rPr>
          <w:sz w:val="28"/>
        </w:rPr>
        <w:t xml:space="preserve">расходов бюджета городского округа Серебряные Пруды Московской области на 2023 год и на плановый период 2024 и 2025 годов», редакции согласно приложению 4                  к настоящему решению;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11) Изложить приложение 5 «Субвенции, субсидии и иные межбюджетные трансферты, предоставляемые городскому округу Серебряные Пруды Московской области из бюджета Московской области на 2023 год и на плановый период 2024 и 2025 годов», в редакции согласно прило</w:t>
      </w:r>
      <w:r>
        <w:rPr>
          <w:sz w:val="28"/>
        </w:rPr>
        <w:t xml:space="preserve">жению 5 к настоящему решению;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12) Изложить приложение 6 «Программа муниципальных внутренних заимствований городского округа Серебряные Пруды Московской области на 2023 год и плановый период 2024 и 2025 годов», в редакции согласно приложению 6 к настоящему решению;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13) Изложить приложение 7 «Источники внутреннего финансирования дефицита бюджета городского округа Серебряные Пруды Московской области на 2023 год и на плановый период 2024 и 2025 годов», в редакции согласно приложению 7 к настоящему решению;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14) Изложить приложение 8 «Расходы бюджета городского округа Серебряные Пруды Московской области на осуществление бюджетных инвестиций в объекты капитального строительства (реконструкции) муниципальной собственности на 2023 год и на плановый период 2024 и 2</w:t>
      </w:r>
      <w:r>
        <w:rPr>
          <w:sz w:val="28"/>
        </w:rPr>
        <w:t xml:space="preserve">025 годов», в редакции согласно приложению 8 к настоящему решению.     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          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2. Опубликовать настоящее решение в газете «Серебряно-Прудский вестник» и в официальном сетевом издании Новости Подмосковья и Московской области, доменное имя сайта информационно-коммуникационной сети Интернет: news-sp.ru, разместить на официальном сайте ад</w:t>
      </w:r>
      <w:r>
        <w:rPr>
          <w:sz w:val="28"/>
        </w:rPr>
        <w:t xml:space="preserve">министрации городского округа Серебряные Пруды Московской области.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3. Настоящее решение вступает в силу после его официального опубликования.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4. Контроль за исполнением настоящего решения возложить на Главу городского округа Серебряные Пруды Московской области О.В. Павлихина.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Председатель Совета депутатов</w:t>
      </w:r>
      <w:r>
        <w:rPr>
          <w:sz w:val="28"/>
        </w:rPr>
      </w:r>
    </w:p>
    <w:p>
      <w:pPr>
        <w:pStyle w:val="832"/>
        <w:ind w:left="-540" w:firstLine="540"/>
        <w:jc w:val="both"/>
      </w:pPr>
      <w:r>
        <w:rPr>
          <w:sz w:val="28"/>
        </w:rPr>
        <w:t xml:space="preserve">городского округа Серебряные Пруды </w:t>
      </w:r>
      <w:r>
        <w:rPr>
          <w:sz w:val="28"/>
        </w:rPr>
      </w:r>
    </w:p>
    <w:p>
      <w:pPr>
        <w:pStyle w:val="832"/>
        <w:ind w:left="-540" w:firstLine="540"/>
        <w:jc w:val="left"/>
      </w:pPr>
      <w:r>
        <w:rPr>
          <w:sz w:val="28"/>
        </w:rPr>
        <w:t xml:space="preserve">Московской области                                                                            В.В. Растегаев                                                    </w:t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center"/>
      </w:pPr>
      <w:r>
        <w:rPr>
          <w:sz w:val="28"/>
        </w:rPr>
      </w:r>
      <w:r>
        <w:rPr>
          <w:sz w:val="28"/>
        </w:rPr>
      </w:r>
    </w:p>
    <w:p>
      <w:pPr>
        <w:pStyle w:val="832"/>
        <w:ind w:left="-540" w:firstLine="540"/>
        <w:jc w:val="left"/>
      </w:pPr>
      <w:r>
        <w:rPr>
          <w:sz w:val="28"/>
        </w:rPr>
        <w:t xml:space="preserve">Глава городского округа Серебряные Пруды </w:t>
      </w:r>
      <w:r>
        <w:rPr>
          <w:sz w:val="28"/>
        </w:rPr>
      </w:r>
    </w:p>
    <w:p>
      <w:pPr>
        <w:ind w:left="-540" w:firstLine="540"/>
        <w:jc w:val="both"/>
        <w:rPr>
          <w:sz w:val="28"/>
          <w:szCs w:val="28"/>
        </w:rPr>
      </w:pPr>
      <w:r>
        <w:rPr>
          <w:sz w:val="28"/>
        </w:rPr>
        <w:t xml:space="preserve">Московской области                                                                           О.В. Павлихин</w:t>
      </w:r>
      <w:r>
        <w:rPr>
          <w:sz w:val="28"/>
        </w:rPr>
      </w:r>
      <w:r>
        <w:rPr>
          <w:sz w:val="28"/>
        </w:rPr>
      </w:r>
      <w:r/>
      <w:r/>
    </w:p>
    <w:sectPr>
      <w:footnotePr/>
      <w:endnotePr/>
      <w:type w:val="nextPage"/>
      <w:pgSz w:w="11906" w:h="16838" w:orient="portrait"/>
      <w:pgMar w:top="540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915" w:hanging="555"/>
        <w:tabs>
          <w:tab w:val="num" w:pos="9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1440" w:hanging="90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60" w:hanging="180"/>
        <w:tabs>
          <w:tab w:val="num" w:pos="666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1710" w:hanging="1170"/>
        <w:tabs>
          <w:tab w:val="num" w:pos="171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60" w:hanging="180"/>
        <w:tabs>
          <w:tab w:val="num" w:pos="666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32"/>
        <w:ind w:left="885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2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48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45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32"/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32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32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32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32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32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32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32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32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6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840" w:hanging="180"/>
      </w:pPr>
    </w:lvl>
  </w:abstractNum>
  <w:abstractNum w:abstractNumId="9">
    <w:multiLevelType w:val="hybridMultilevel"/>
    <w:lvl w:ilvl="0">
      <w:start w:val="4"/>
      <w:numFmt w:val="bullet"/>
      <w:isLgl w:val="false"/>
      <w:suff w:val="tab"/>
      <w:lvlText w:val="-"/>
      <w:lvlJc w:val="left"/>
      <w:pPr>
        <w:pStyle w:val="832"/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32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32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32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32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32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32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32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32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paragraph" w:styleId="833">
    <w:name w:val="Заголовок 1"/>
    <w:basedOn w:val="832"/>
    <w:next w:val="832"/>
    <w:link w:val="832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34">
    <w:name w:val="Заголовок 2"/>
    <w:basedOn w:val="832"/>
    <w:next w:val="832"/>
    <w:link w:val="832"/>
    <w:qFormat/>
    <w:pPr>
      <w:jc w:val="both"/>
      <w:keepNext/>
      <w:outlineLvl w:val="1"/>
    </w:pPr>
    <w:rPr>
      <w:rFonts w:eastAsia="Arial Unicode MS"/>
      <w:b/>
      <w:bCs/>
    </w:rPr>
  </w:style>
  <w:style w:type="paragraph" w:styleId="835">
    <w:name w:val="Заголовок 3"/>
    <w:basedOn w:val="832"/>
    <w:next w:val="832"/>
    <w:link w:val="832"/>
    <w:qFormat/>
    <w:pPr>
      <w:ind w:firstLine="540"/>
      <w:jc w:val="both"/>
      <w:keepNext/>
      <w:outlineLvl w:val="2"/>
    </w:pPr>
    <w:rPr>
      <w:b/>
      <w:bCs/>
      <w:sz w:val="28"/>
      <w:szCs w:val="28"/>
    </w:rPr>
  </w:style>
  <w:style w:type="paragraph" w:styleId="836">
    <w:name w:val="Заголовок 4"/>
    <w:basedOn w:val="832"/>
    <w:next w:val="832"/>
    <w:link w:val="832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37">
    <w:name w:val="Заголовок 5"/>
    <w:basedOn w:val="832"/>
    <w:next w:val="832"/>
    <w:link w:val="832"/>
    <w:qFormat/>
    <w:pPr>
      <w:ind w:firstLine="540"/>
      <w:jc w:val="both"/>
      <w:keepNext/>
      <w:outlineLvl w:val="4"/>
    </w:pPr>
    <w:rPr>
      <w:sz w:val="28"/>
      <w:szCs w:val="28"/>
    </w:rPr>
  </w:style>
  <w:style w:type="paragraph" w:styleId="838">
    <w:name w:val="Заголовок 6"/>
    <w:basedOn w:val="832"/>
    <w:next w:val="832"/>
    <w:link w:val="832"/>
    <w:qFormat/>
    <w:pPr>
      <w:jc w:val="both"/>
      <w:keepNext/>
      <w:outlineLvl w:val="5"/>
    </w:pPr>
    <w:rPr>
      <w:sz w:val="28"/>
    </w:rPr>
  </w:style>
  <w:style w:type="paragraph" w:styleId="839">
    <w:name w:val="Заголовок 7"/>
    <w:basedOn w:val="832"/>
    <w:next w:val="832"/>
    <w:link w:val="832"/>
    <w:qFormat/>
    <w:pPr>
      <w:keepNext/>
      <w:outlineLvl w:val="6"/>
    </w:pPr>
    <w:rPr>
      <w:sz w:val="28"/>
    </w:rPr>
  </w:style>
  <w:style w:type="paragraph" w:styleId="840">
    <w:name w:val="Заголовок 8"/>
    <w:basedOn w:val="832"/>
    <w:next w:val="832"/>
    <w:link w:val="832"/>
    <w:qFormat/>
    <w:pPr>
      <w:ind w:firstLine="540"/>
      <w:jc w:val="both"/>
      <w:keepNext/>
      <w:outlineLvl w:val="7"/>
    </w:pPr>
    <w:rPr>
      <w:b/>
      <w:color w:val="3366ff"/>
      <w:sz w:val="28"/>
      <w:szCs w:val="28"/>
    </w:rPr>
  </w:style>
  <w:style w:type="paragraph" w:styleId="841">
    <w:name w:val="Заголовок 9"/>
    <w:basedOn w:val="832"/>
    <w:next w:val="832"/>
    <w:link w:val="832"/>
    <w:qFormat/>
    <w:pPr>
      <w:ind w:left="-540" w:firstLine="540"/>
      <w:jc w:val="both"/>
      <w:keepNext/>
      <w:outlineLvl w:val="8"/>
    </w:pPr>
    <w:rPr>
      <w:sz w:val="28"/>
    </w:rPr>
  </w:style>
  <w:style w:type="character" w:styleId="842">
    <w:name w:val="Основной шрифт абзаца"/>
    <w:next w:val="842"/>
    <w:link w:val="832"/>
    <w:semiHidden/>
  </w:style>
  <w:style w:type="table" w:styleId="843">
    <w:name w:val="Обычная таблица"/>
    <w:next w:val="843"/>
    <w:link w:val="832"/>
    <w:semiHidden/>
    <w:tblPr/>
  </w:style>
  <w:style w:type="numbering" w:styleId="844">
    <w:name w:val="Нет списка"/>
    <w:next w:val="844"/>
    <w:link w:val="832"/>
    <w:semiHidden/>
  </w:style>
  <w:style w:type="paragraph" w:styleId="845">
    <w:name w:val="Основной текст с отступом"/>
    <w:basedOn w:val="832"/>
    <w:next w:val="845"/>
    <w:link w:val="832"/>
    <w:pPr>
      <w:ind w:firstLine="540"/>
      <w:jc w:val="center"/>
    </w:pPr>
    <w:rPr>
      <w:b/>
      <w:bCs/>
      <w:sz w:val="28"/>
      <w:szCs w:val="28"/>
    </w:rPr>
  </w:style>
  <w:style w:type="paragraph" w:styleId="846">
    <w:name w:val="Основной текст с отступом 2"/>
    <w:basedOn w:val="832"/>
    <w:next w:val="846"/>
    <w:link w:val="832"/>
    <w:pPr>
      <w:ind w:firstLine="540"/>
      <w:jc w:val="both"/>
    </w:pPr>
    <w:rPr>
      <w:sz w:val="28"/>
      <w:szCs w:val="28"/>
    </w:rPr>
  </w:style>
  <w:style w:type="paragraph" w:styleId="847">
    <w:name w:val="Основной текст"/>
    <w:basedOn w:val="832"/>
    <w:next w:val="847"/>
    <w:link w:val="832"/>
    <w:pPr>
      <w:jc w:val="both"/>
    </w:pPr>
    <w:rPr>
      <w:sz w:val="28"/>
    </w:rPr>
  </w:style>
  <w:style w:type="paragraph" w:styleId="848">
    <w:name w:val="Основной текст 2"/>
    <w:basedOn w:val="832"/>
    <w:next w:val="848"/>
    <w:link w:val="832"/>
    <w:pPr>
      <w:jc w:val="both"/>
    </w:pPr>
  </w:style>
  <w:style w:type="paragraph" w:styleId="849">
    <w:name w:val="Основной текст 3"/>
    <w:basedOn w:val="832"/>
    <w:next w:val="849"/>
    <w:link w:val="832"/>
    <w:rPr>
      <w:sz w:val="28"/>
    </w:rPr>
  </w:style>
  <w:style w:type="character" w:styleId="850">
    <w:name w:val="Цветовое выделение"/>
    <w:next w:val="850"/>
    <w:link w:val="832"/>
    <w:rPr>
      <w:b/>
      <w:bCs/>
      <w:color w:val="000080"/>
    </w:rPr>
  </w:style>
  <w:style w:type="character" w:styleId="851">
    <w:name w:val="Гипертекстовая ссылка"/>
    <w:next w:val="851"/>
    <w:link w:val="832"/>
    <w:rPr>
      <w:b/>
      <w:bCs/>
      <w:color w:val="008000"/>
      <w:u w:val="single"/>
    </w:rPr>
  </w:style>
  <w:style w:type="paragraph" w:styleId="852">
    <w:name w:val="Таблицы (моноширинный)"/>
    <w:basedOn w:val="832"/>
    <w:next w:val="832"/>
    <w:link w:val="832"/>
    <w:pPr>
      <w:jc w:val="both"/>
      <w:widowControl w:val="off"/>
    </w:pPr>
    <w:rPr>
      <w:rFonts w:ascii="Courier New" w:hAnsi="Courier New" w:cs="Courier New"/>
      <w:sz w:val="20"/>
      <w:szCs w:val="20"/>
    </w:rPr>
  </w:style>
  <w:style w:type="paragraph" w:styleId="853">
    <w:name w:val="Основной текст с отступом 3"/>
    <w:basedOn w:val="832"/>
    <w:next w:val="853"/>
    <w:link w:val="832"/>
    <w:pPr>
      <w:ind w:firstLine="720"/>
      <w:jc w:val="both"/>
      <w:widowControl w:val="off"/>
    </w:pPr>
    <w:rPr>
      <w:sz w:val="28"/>
    </w:rPr>
  </w:style>
  <w:style w:type="paragraph" w:styleId="854">
    <w:name w:val="Текст выноски"/>
    <w:basedOn w:val="832"/>
    <w:next w:val="854"/>
    <w:link w:val="832"/>
    <w:semiHidden/>
    <w:rPr>
      <w:rFonts w:ascii="Tahoma" w:hAnsi="Tahoma" w:cs="Tahoma"/>
      <w:sz w:val="16"/>
      <w:szCs w:val="16"/>
    </w:rPr>
  </w:style>
  <w:style w:type="paragraph" w:styleId="855">
    <w:name w:val="ConsPlusNormal"/>
    <w:next w:val="855"/>
    <w:link w:val="832"/>
    <w:pPr>
      <w:ind w:firstLine="720"/>
    </w:pPr>
    <w:rPr>
      <w:rFonts w:ascii="Arial" w:hAnsi="Arial" w:cs="Arial"/>
      <w:lang w:val="ru-RU" w:eastAsia="ru-RU" w:bidi="ar-SA"/>
    </w:rPr>
  </w:style>
  <w:style w:type="paragraph" w:styleId="856">
    <w:name w:val="s_1"/>
    <w:basedOn w:val="832"/>
    <w:next w:val="856"/>
    <w:link w:val="832"/>
    <w:pPr>
      <w:spacing w:before="100" w:beforeAutospacing="1" w:after="100" w:afterAutospacing="1"/>
    </w:pPr>
  </w:style>
  <w:style w:type="character" w:styleId="857" w:default="1">
    <w:name w:val="Default Paragraph Font"/>
    <w:uiPriority w:val="1"/>
    <w:semiHidden/>
    <w:unhideWhenUsed/>
  </w:style>
  <w:style w:type="numbering" w:styleId="858" w:default="1">
    <w:name w:val="No List"/>
    <w:uiPriority w:val="99"/>
    <w:semiHidden/>
    <w:unhideWhenUsed/>
  </w:style>
  <w:style w:type="table" w:styleId="8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revision>1506</cp:revision>
  <dcterms:created xsi:type="dcterms:W3CDTF">2006-12-19T11:55:00Z</dcterms:created>
  <dcterms:modified xsi:type="dcterms:W3CDTF">2023-12-21T09:33:26Z</dcterms:modified>
  <cp:version>730895</cp:version>
</cp:coreProperties>
</file>